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89" w:type="dxa"/>
        <w:tblLook w:val="04A0"/>
      </w:tblPr>
      <w:tblGrid>
        <w:gridCol w:w="533"/>
        <w:gridCol w:w="4325"/>
        <w:gridCol w:w="2377"/>
        <w:gridCol w:w="2654"/>
      </w:tblGrid>
      <w:tr w:rsidR="000E62C3" w:rsidTr="000E62C3">
        <w:tc>
          <w:tcPr>
            <w:tcW w:w="533" w:type="dxa"/>
          </w:tcPr>
          <w:p w:rsidR="000E62C3" w:rsidRPr="000E62C3" w:rsidRDefault="000E6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4325" w:type="dxa"/>
            <w:vAlign w:val="center"/>
          </w:tcPr>
          <w:p w:rsidR="000E62C3" w:rsidRPr="000E62C3" w:rsidRDefault="000E62C3" w:rsidP="000E62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2C3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377" w:type="dxa"/>
            <w:vAlign w:val="center"/>
          </w:tcPr>
          <w:p w:rsidR="000E62C3" w:rsidRPr="000E62C3" w:rsidRDefault="000E62C3" w:rsidP="000E62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2C3">
              <w:rPr>
                <w:rFonts w:ascii="Times New Roman" w:hAnsi="Times New Roman" w:cs="Times New Roman"/>
                <w:sz w:val="28"/>
                <w:szCs w:val="28"/>
              </w:rPr>
              <w:t>Прогнозируемое значение на 2016 год</w:t>
            </w:r>
          </w:p>
        </w:tc>
        <w:tc>
          <w:tcPr>
            <w:tcW w:w="2654" w:type="dxa"/>
            <w:vAlign w:val="center"/>
          </w:tcPr>
          <w:p w:rsidR="000E62C3" w:rsidRPr="000E62C3" w:rsidRDefault="000E62C3" w:rsidP="002142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2C3">
              <w:rPr>
                <w:rFonts w:ascii="Times New Roman" w:hAnsi="Times New Roman" w:cs="Times New Roman"/>
                <w:sz w:val="28"/>
                <w:szCs w:val="28"/>
              </w:rPr>
              <w:t xml:space="preserve">Фактическое значение показателя Управления </w:t>
            </w:r>
            <w:r w:rsidR="0021428C">
              <w:rPr>
                <w:rFonts w:ascii="Times New Roman" w:hAnsi="Times New Roman" w:cs="Times New Roman"/>
                <w:sz w:val="28"/>
                <w:szCs w:val="28"/>
              </w:rPr>
              <w:t>по итогам работы за 2016 год</w:t>
            </w:r>
          </w:p>
        </w:tc>
      </w:tr>
      <w:tr w:rsidR="000E62C3" w:rsidTr="000E62C3">
        <w:tc>
          <w:tcPr>
            <w:tcW w:w="533" w:type="dxa"/>
          </w:tcPr>
          <w:p w:rsidR="000E62C3" w:rsidRPr="000E62C3" w:rsidRDefault="000E62C3" w:rsidP="000E6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2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5" w:type="dxa"/>
            <w:vAlign w:val="center"/>
          </w:tcPr>
          <w:p w:rsidR="000E62C3" w:rsidRPr="000E62C3" w:rsidRDefault="000E62C3" w:rsidP="000E6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2C3">
              <w:rPr>
                <w:rFonts w:ascii="Times New Roman" w:hAnsi="Times New Roman" w:cs="Times New Roman"/>
                <w:sz w:val="24"/>
                <w:szCs w:val="24"/>
              </w:rPr>
              <w:t>Доля оконченных фактическим исполнением исполнительных документов</w:t>
            </w:r>
          </w:p>
        </w:tc>
        <w:tc>
          <w:tcPr>
            <w:tcW w:w="2377" w:type="dxa"/>
            <w:vAlign w:val="center"/>
          </w:tcPr>
          <w:p w:rsidR="000E62C3" w:rsidRPr="000E62C3" w:rsidRDefault="000E62C3" w:rsidP="000E6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2C3">
              <w:rPr>
                <w:rFonts w:ascii="Times New Roman" w:hAnsi="Times New Roman" w:cs="Times New Roman"/>
                <w:sz w:val="24"/>
                <w:szCs w:val="24"/>
              </w:rPr>
              <w:t>48%</w:t>
            </w:r>
          </w:p>
        </w:tc>
        <w:tc>
          <w:tcPr>
            <w:tcW w:w="2654" w:type="dxa"/>
            <w:vAlign w:val="center"/>
          </w:tcPr>
          <w:p w:rsidR="000E62C3" w:rsidRPr="000E62C3" w:rsidRDefault="0021428C" w:rsidP="000E6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4"/>
                <w:b w:val="0"/>
                <w:sz w:val="24"/>
                <w:szCs w:val="24"/>
              </w:rPr>
              <w:t>50,9%</w:t>
            </w:r>
          </w:p>
        </w:tc>
      </w:tr>
      <w:tr w:rsidR="000E62C3" w:rsidTr="000E62C3">
        <w:tc>
          <w:tcPr>
            <w:tcW w:w="533" w:type="dxa"/>
          </w:tcPr>
          <w:p w:rsidR="000E62C3" w:rsidRPr="000E62C3" w:rsidRDefault="000E62C3" w:rsidP="000E6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2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25" w:type="dxa"/>
            <w:vAlign w:val="center"/>
          </w:tcPr>
          <w:p w:rsidR="000E62C3" w:rsidRPr="000E62C3" w:rsidRDefault="000E62C3" w:rsidP="000E6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2C3">
              <w:rPr>
                <w:rFonts w:ascii="Times New Roman" w:hAnsi="Times New Roman" w:cs="Times New Roman"/>
                <w:sz w:val="24"/>
                <w:szCs w:val="24"/>
              </w:rPr>
              <w:t>Интенсивность исполнения требований исполнительных документов</w:t>
            </w:r>
          </w:p>
        </w:tc>
        <w:tc>
          <w:tcPr>
            <w:tcW w:w="2377" w:type="dxa"/>
            <w:vAlign w:val="center"/>
          </w:tcPr>
          <w:p w:rsidR="000E62C3" w:rsidRPr="000E62C3" w:rsidRDefault="000E62C3" w:rsidP="000E6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2C3">
              <w:rPr>
                <w:rFonts w:ascii="Times New Roman" w:hAnsi="Times New Roman" w:cs="Times New Roman"/>
                <w:sz w:val="24"/>
                <w:szCs w:val="24"/>
              </w:rPr>
              <w:t>103%</w:t>
            </w:r>
          </w:p>
        </w:tc>
        <w:tc>
          <w:tcPr>
            <w:tcW w:w="2654" w:type="dxa"/>
            <w:vAlign w:val="center"/>
          </w:tcPr>
          <w:p w:rsidR="000E62C3" w:rsidRPr="000E62C3" w:rsidRDefault="0021428C" w:rsidP="000E6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4"/>
                <w:b w:val="0"/>
                <w:sz w:val="24"/>
                <w:szCs w:val="24"/>
              </w:rPr>
              <w:t>103,9%</w:t>
            </w:r>
          </w:p>
        </w:tc>
      </w:tr>
      <w:tr w:rsidR="000E62C3" w:rsidTr="000E62C3">
        <w:tc>
          <w:tcPr>
            <w:tcW w:w="533" w:type="dxa"/>
          </w:tcPr>
          <w:p w:rsidR="000E62C3" w:rsidRPr="000E62C3" w:rsidRDefault="000E62C3" w:rsidP="000E6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2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25" w:type="dxa"/>
            <w:vAlign w:val="center"/>
          </w:tcPr>
          <w:p w:rsidR="000E62C3" w:rsidRPr="000E62C3" w:rsidRDefault="000E62C3" w:rsidP="000E6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2C3">
              <w:rPr>
                <w:rFonts w:ascii="Times New Roman" w:hAnsi="Times New Roman" w:cs="Times New Roman"/>
                <w:sz w:val="24"/>
                <w:szCs w:val="24"/>
              </w:rPr>
              <w:t>Степень влияния реализации имущества должников на эффективность исполнения актов судебных или иных органов</w:t>
            </w:r>
          </w:p>
        </w:tc>
        <w:tc>
          <w:tcPr>
            <w:tcW w:w="2377" w:type="dxa"/>
            <w:vAlign w:val="center"/>
          </w:tcPr>
          <w:p w:rsidR="000E62C3" w:rsidRPr="000E62C3" w:rsidRDefault="000E62C3" w:rsidP="000E6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2C3">
              <w:rPr>
                <w:rFonts w:ascii="Times New Roman" w:hAnsi="Times New Roman" w:cs="Times New Roman"/>
                <w:sz w:val="24"/>
                <w:szCs w:val="24"/>
              </w:rPr>
              <w:t>11%</w:t>
            </w:r>
          </w:p>
        </w:tc>
        <w:tc>
          <w:tcPr>
            <w:tcW w:w="2654" w:type="dxa"/>
            <w:vAlign w:val="center"/>
          </w:tcPr>
          <w:p w:rsidR="000E62C3" w:rsidRPr="000E62C3" w:rsidRDefault="0021428C" w:rsidP="000E6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4"/>
                <w:b w:val="0"/>
                <w:sz w:val="24"/>
                <w:szCs w:val="24"/>
              </w:rPr>
              <w:t>13,1%</w:t>
            </w:r>
          </w:p>
        </w:tc>
      </w:tr>
      <w:tr w:rsidR="000E62C3" w:rsidTr="000E62C3">
        <w:tc>
          <w:tcPr>
            <w:tcW w:w="533" w:type="dxa"/>
          </w:tcPr>
          <w:p w:rsidR="000E62C3" w:rsidRPr="000E62C3" w:rsidRDefault="000E62C3" w:rsidP="000E6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2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25" w:type="dxa"/>
            <w:vAlign w:val="center"/>
          </w:tcPr>
          <w:p w:rsidR="000E62C3" w:rsidRPr="000E62C3" w:rsidRDefault="000E62C3" w:rsidP="000E6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2C3">
              <w:rPr>
                <w:rFonts w:ascii="Times New Roman" w:hAnsi="Times New Roman" w:cs="Times New Roman"/>
                <w:sz w:val="24"/>
                <w:szCs w:val="24"/>
              </w:rPr>
              <w:t>Законность действий должностных лиц ФССП России</w:t>
            </w:r>
          </w:p>
        </w:tc>
        <w:tc>
          <w:tcPr>
            <w:tcW w:w="2377" w:type="dxa"/>
            <w:vAlign w:val="center"/>
          </w:tcPr>
          <w:p w:rsidR="000E62C3" w:rsidRPr="000E62C3" w:rsidRDefault="000E62C3" w:rsidP="000E6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2C3">
              <w:rPr>
                <w:rFonts w:ascii="Times New Roman" w:hAnsi="Times New Roman" w:cs="Times New Roman"/>
                <w:sz w:val="24"/>
                <w:szCs w:val="24"/>
              </w:rPr>
              <w:t>7%</w:t>
            </w:r>
          </w:p>
        </w:tc>
        <w:tc>
          <w:tcPr>
            <w:tcW w:w="2654" w:type="dxa"/>
            <w:vAlign w:val="center"/>
          </w:tcPr>
          <w:p w:rsidR="000E62C3" w:rsidRPr="000E62C3" w:rsidRDefault="0021428C" w:rsidP="000E6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10">
              <w:rPr>
                <w:rStyle w:val="FontStyle14"/>
                <w:b w:val="0"/>
                <w:sz w:val="24"/>
                <w:szCs w:val="24"/>
              </w:rPr>
              <w:t>5,2%</w:t>
            </w:r>
          </w:p>
        </w:tc>
      </w:tr>
      <w:tr w:rsidR="000E62C3" w:rsidTr="000E62C3">
        <w:tc>
          <w:tcPr>
            <w:tcW w:w="533" w:type="dxa"/>
          </w:tcPr>
          <w:p w:rsidR="000E62C3" w:rsidRPr="000E62C3" w:rsidRDefault="000E62C3" w:rsidP="000E6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2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25" w:type="dxa"/>
            <w:vAlign w:val="center"/>
          </w:tcPr>
          <w:p w:rsidR="000E62C3" w:rsidRPr="000E62C3" w:rsidRDefault="000E62C3" w:rsidP="000E6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2C3">
              <w:rPr>
                <w:rFonts w:ascii="Times New Roman" w:hAnsi="Times New Roman" w:cs="Times New Roman"/>
                <w:sz w:val="24"/>
                <w:szCs w:val="24"/>
              </w:rPr>
              <w:t>Процент осуществления приводов в суды по уголовным делам</w:t>
            </w:r>
          </w:p>
        </w:tc>
        <w:tc>
          <w:tcPr>
            <w:tcW w:w="2377" w:type="dxa"/>
            <w:vAlign w:val="center"/>
          </w:tcPr>
          <w:p w:rsidR="000E62C3" w:rsidRPr="000E62C3" w:rsidRDefault="000E62C3" w:rsidP="000E6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2C3"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  <w:tc>
          <w:tcPr>
            <w:tcW w:w="2654" w:type="dxa"/>
            <w:vAlign w:val="center"/>
          </w:tcPr>
          <w:p w:rsidR="000E62C3" w:rsidRPr="000E62C3" w:rsidRDefault="0021428C" w:rsidP="000E6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10">
              <w:rPr>
                <w:rStyle w:val="FontStyle14"/>
                <w:b w:val="0"/>
                <w:sz w:val="24"/>
                <w:szCs w:val="24"/>
              </w:rPr>
              <w:t>96,2%</w:t>
            </w:r>
          </w:p>
        </w:tc>
      </w:tr>
      <w:tr w:rsidR="000E62C3" w:rsidTr="000E62C3">
        <w:tc>
          <w:tcPr>
            <w:tcW w:w="533" w:type="dxa"/>
          </w:tcPr>
          <w:p w:rsidR="000E62C3" w:rsidRPr="000E62C3" w:rsidRDefault="000E62C3" w:rsidP="000E6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2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25" w:type="dxa"/>
            <w:vAlign w:val="center"/>
          </w:tcPr>
          <w:p w:rsidR="000E62C3" w:rsidRPr="000E62C3" w:rsidRDefault="000E62C3" w:rsidP="000E6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2C3">
              <w:rPr>
                <w:rFonts w:ascii="Times New Roman" w:hAnsi="Times New Roman" w:cs="Times New Roman"/>
                <w:sz w:val="24"/>
                <w:szCs w:val="24"/>
              </w:rPr>
              <w:t>Процент осуществления приводов в суды по административным делам</w:t>
            </w:r>
          </w:p>
        </w:tc>
        <w:tc>
          <w:tcPr>
            <w:tcW w:w="2377" w:type="dxa"/>
            <w:vAlign w:val="center"/>
          </w:tcPr>
          <w:p w:rsidR="000E62C3" w:rsidRPr="000E62C3" w:rsidRDefault="000E62C3" w:rsidP="000E6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2C3"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  <w:tc>
          <w:tcPr>
            <w:tcW w:w="2654" w:type="dxa"/>
            <w:vAlign w:val="center"/>
          </w:tcPr>
          <w:p w:rsidR="000E62C3" w:rsidRPr="000E62C3" w:rsidRDefault="000E62C3" w:rsidP="000E6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E62C3" w:rsidTr="000E62C3">
        <w:tc>
          <w:tcPr>
            <w:tcW w:w="533" w:type="dxa"/>
          </w:tcPr>
          <w:p w:rsidR="000E62C3" w:rsidRPr="000E62C3" w:rsidRDefault="000E62C3" w:rsidP="000E6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2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25" w:type="dxa"/>
            <w:vAlign w:val="center"/>
          </w:tcPr>
          <w:p w:rsidR="000E62C3" w:rsidRPr="000E62C3" w:rsidRDefault="000E62C3" w:rsidP="000E6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2C3">
              <w:rPr>
                <w:rFonts w:ascii="Times New Roman" w:hAnsi="Times New Roman" w:cs="Times New Roman"/>
                <w:sz w:val="24"/>
                <w:szCs w:val="24"/>
              </w:rPr>
              <w:t>Результативность расследования уголовных дел</w:t>
            </w:r>
          </w:p>
        </w:tc>
        <w:tc>
          <w:tcPr>
            <w:tcW w:w="2377" w:type="dxa"/>
            <w:vAlign w:val="center"/>
          </w:tcPr>
          <w:p w:rsidR="000E62C3" w:rsidRPr="000E62C3" w:rsidRDefault="000E62C3" w:rsidP="000E6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2C3">
              <w:rPr>
                <w:rFonts w:ascii="Times New Roman" w:hAnsi="Times New Roman" w:cs="Times New Roman"/>
                <w:sz w:val="24"/>
                <w:szCs w:val="24"/>
              </w:rPr>
              <w:t>98%</w:t>
            </w:r>
          </w:p>
        </w:tc>
        <w:tc>
          <w:tcPr>
            <w:tcW w:w="2654" w:type="dxa"/>
            <w:vAlign w:val="center"/>
          </w:tcPr>
          <w:p w:rsidR="000E62C3" w:rsidRPr="000E62C3" w:rsidRDefault="0021428C" w:rsidP="000E6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10">
              <w:rPr>
                <w:rStyle w:val="FontStyle14"/>
                <w:b w:val="0"/>
                <w:sz w:val="24"/>
                <w:szCs w:val="24"/>
              </w:rPr>
              <w:t>65,5%</w:t>
            </w:r>
          </w:p>
        </w:tc>
      </w:tr>
      <w:tr w:rsidR="000E62C3" w:rsidTr="000E62C3">
        <w:trPr>
          <w:trHeight w:val="346"/>
        </w:trPr>
        <w:tc>
          <w:tcPr>
            <w:tcW w:w="533" w:type="dxa"/>
          </w:tcPr>
          <w:p w:rsidR="000E62C3" w:rsidRPr="000E62C3" w:rsidRDefault="000E62C3" w:rsidP="000E6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2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25" w:type="dxa"/>
            <w:vAlign w:val="center"/>
          </w:tcPr>
          <w:p w:rsidR="000E62C3" w:rsidRPr="000E62C3" w:rsidRDefault="000E62C3" w:rsidP="000E6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2C3">
              <w:rPr>
                <w:rFonts w:ascii="Times New Roman" w:hAnsi="Times New Roman" w:cs="Times New Roman"/>
                <w:sz w:val="24"/>
                <w:szCs w:val="24"/>
              </w:rPr>
              <w:t>Оперативность производства дознания</w:t>
            </w:r>
          </w:p>
        </w:tc>
        <w:tc>
          <w:tcPr>
            <w:tcW w:w="2377" w:type="dxa"/>
            <w:vAlign w:val="center"/>
          </w:tcPr>
          <w:p w:rsidR="000E62C3" w:rsidRPr="000E62C3" w:rsidRDefault="000E62C3" w:rsidP="000E6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2C3">
              <w:rPr>
                <w:rFonts w:ascii="Times New Roman" w:hAnsi="Times New Roman" w:cs="Times New Roman"/>
                <w:sz w:val="24"/>
                <w:szCs w:val="24"/>
              </w:rPr>
              <w:t>91%</w:t>
            </w:r>
          </w:p>
        </w:tc>
        <w:tc>
          <w:tcPr>
            <w:tcW w:w="2654" w:type="dxa"/>
            <w:vAlign w:val="center"/>
          </w:tcPr>
          <w:p w:rsidR="000E62C3" w:rsidRPr="000E62C3" w:rsidRDefault="0021428C" w:rsidP="000E6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710">
              <w:rPr>
                <w:rStyle w:val="FontStyle14"/>
                <w:b w:val="0"/>
                <w:sz w:val="24"/>
                <w:szCs w:val="24"/>
              </w:rPr>
              <w:t>86,5%</w:t>
            </w:r>
          </w:p>
        </w:tc>
      </w:tr>
      <w:tr w:rsidR="000E62C3" w:rsidTr="000E62C3">
        <w:tc>
          <w:tcPr>
            <w:tcW w:w="533" w:type="dxa"/>
          </w:tcPr>
          <w:p w:rsidR="000E62C3" w:rsidRPr="000E62C3" w:rsidRDefault="000E62C3" w:rsidP="000E6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2C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25" w:type="dxa"/>
            <w:vAlign w:val="center"/>
          </w:tcPr>
          <w:p w:rsidR="000E62C3" w:rsidRPr="000E62C3" w:rsidRDefault="000E62C3" w:rsidP="000E6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2C3">
              <w:rPr>
                <w:rFonts w:ascii="Times New Roman" w:hAnsi="Times New Roman" w:cs="Times New Roman"/>
                <w:sz w:val="24"/>
                <w:szCs w:val="24"/>
              </w:rPr>
              <w:t>Обеспечение законности при производстве дознания по уголовным делам</w:t>
            </w:r>
          </w:p>
        </w:tc>
        <w:tc>
          <w:tcPr>
            <w:tcW w:w="2377" w:type="dxa"/>
            <w:vAlign w:val="center"/>
          </w:tcPr>
          <w:p w:rsidR="000E62C3" w:rsidRPr="000E62C3" w:rsidRDefault="000E62C3" w:rsidP="000E6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2C3">
              <w:rPr>
                <w:rFonts w:ascii="Times New Roman" w:hAnsi="Times New Roman" w:cs="Times New Roman"/>
                <w:sz w:val="24"/>
                <w:szCs w:val="24"/>
              </w:rPr>
              <w:t>0,15%</w:t>
            </w:r>
          </w:p>
        </w:tc>
        <w:tc>
          <w:tcPr>
            <w:tcW w:w="2654" w:type="dxa"/>
            <w:vAlign w:val="center"/>
          </w:tcPr>
          <w:p w:rsidR="000E62C3" w:rsidRPr="000E62C3" w:rsidRDefault="000E62C3" w:rsidP="000E6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0,00%</w:t>
            </w:r>
          </w:p>
        </w:tc>
      </w:tr>
    </w:tbl>
    <w:p w:rsidR="00F37482" w:rsidRDefault="00F37482"/>
    <w:sectPr w:rsidR="00F37482" w:rsidSect="00F37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62C3"/>
    <w:rsid w:val="000D2116"/>
    <w:rsid w:val="000E62C3"/>
    <w:rsid w:val="0021428C"/>
    <w:rsid w:val="002B0787"/>
    <w:rsid w:val="00480C7A"/>
    <w:rsid w:val="004A3124"/>
    <w:rsid w:val="007A16AC"/>
    <w:rsid w:val="00F37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62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4">
    <w:name w:val="Font Style14"/>
    <w:basedOn w:val="a0"/>
    <w:rsid w:val="0021428C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690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gulidin</dc:creator>
  <cp:keywords/>
  <dc:description/>
  <cp:lastModifiedBy>gulidin</cp:lastModifiedBy>
  <cp:revision>2</cp:revision>
  <dcterms:created xsi:type="dcterms:W3CDTF">2017-02-02T09:04:00Z</dcterms:created>
  <dcterms:modified xsi:type="dcterms:W3CDTF">2017-02-02T09:04:00Z</dcterms:modified>
</cp:coreProperties>
</file>